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35" w:type="dxa"/>
        <w:shd w:val="clear" w:color="auto" w:fill="FEEED7"/>
        <w:tblCellMar>
          <w:left w:w="0" w:type="dxa"/>
          <w:right w:w="0" w:type="dxa"/>
        </w:tblCellMar>
        <w:tblLook w:val="04A0"/>
      </w:tblPr>
      <w:tblGrid>
        <w:gridCol w:w="4962"/>
        <w:gridCol w:w="2367"/>
        <w:gridCol w:w="2594"/>
        <w:gridCol w:w="2212"/>
      </w:tblGrid>
      <w:tr w:rsidR="00B07CA7" w:rsidRPr="00B07CA7" w:rsidTr="00B07CA7">
        <w:trPr>
          <w:gridAfter w:val="1"/>
          <w:wAfter w:w="2212" w:type="dxa"/>
        </w:trPr>
        <w:tc>
          <w:tcPr>
            <w:tcW w:w="4962" w:type="dxa"/>
            <w:shd w:val="clear" w:color="auto" w:fill="auto"/>
            <w:vAlign w:val="center"/>
            <w:hideMark/>
          </w:tcPr>
          <w:p w:rsidR="00B07CA7" w:rsidRPr="00B07CA7" w:rsidRDefault="00B07CA7" w:rsidP="00B07CA7">
            <w:pPr>
              <w:spacing w:before="120" w:after="100" w:afterAutospacing="1" w:line="240" w:lineRule="auto"/>
              <w:jc w:val="center"/>
              <w:rPr>
                <w:rFonts w:eastAsia="Times New Roman"/>
                <w:color w:val="522700"/>
                <w:szCs w:val="28"/>
              </w:rPr>
            </w:pPr>
            <w:r w:rsidRPr="00B07CA7">
              <w:rPr>
                <w:rFonts w:eastAsia="Times New Roman"/>
                <w:b/>
                <w:bCs/>
                <w:color w:val="522700"/>
                <w:szCs w:val="28"/>
              </w:rPr>
              <w:t>BAN CHẤP HÀNH TRUNG ƯƠNG</w:t>
            </w:r>
          </w:p>
          <w:p w:rsidR="00B07CA7" w:rsidRPr="00B07CA7" w:rsidRDefault="00B07CA7" w:rsidP="00B07CA7">
            <w:pPr>
              <w:spacing w:before="120" w:after="100" w:afterAutospacing="1" w:line="240" w:lineRule="auto"/>
              <w:jc w:val="center"/>
              <w:rPr>
                <w:rFonts w:eastAsia="Times New Roman"/>
                <w:color w:val="522700"/>
                <w:szCs w:val="28"/>
              </w:rPr>
            </w:pPr>
            <w:r w:rsidRPr="00B07CA7">
              <w:rPr>
                <w:rFonts w:eastAsia="Times New Roman"/>
                <w:color w:val="522700"/>
                <w:szCs w:val="28"/>
              </w:rPr>
              <w:t>SỐ 25-NQ/TW</w:t>
            </w:r>
          </w:p>
        </w:tc>
        <w:tc>
          <w:tcPr>
            <w:tcW w:w="4961" w:type="dxa"/>
            <w:gridSpan w:val="2"/>
            <w:shd w:val="clear" w:color="auto" w:fill="auto"/>
            <w:vAlign w:val="center"/>
            <w:hideMark/>
          </w:tcPr>
          <w:p w:rsidR="00B07CA7" w:rsidRPr="00B07CA7" w:rsidRDefault="00B07CA7" w:rsidP="00B07CA7">
            <w:pPr>
              <w:spacing w:before="120" w:after="100" w:afterAutospacing="1" w:line="240" w:lineRule="auto"/>
              <w:jc w:val="center"/>
              <w:rPr>
                <w:rFonts w:eastAsia="Times New Roman"/>
                <w:color w:val="522700"/>
                <w:szCs w:val="28"/>
              </w:rPr>
            </w:pPr>
            <w:r w:rsidRPr="00B07CA7">
              <w:rPr>
                <w:rFonts w:eastAsia="Times New Roman"/>
                <w:b/>
                <w:bCs/>
                <w:color w:val="522700"/>
                <w:szCs w:val="28"/>
              </w:rPr>
              <w:t>ĐẢNG CỘNG SẢN VIỆT NAM</w:t>
            </w:r>
          </w:p>
          <w:p w:rsidR="00B07CA7" w:rsidRPr="00B07CA7" w:rsidRDefault="00B07CA7" w:rsidP="00B07CA7">
            <w:pPr>
              <w:spacing w:before="120" w:after="100" w:afterAutospacing="1" w:line="240" w:lineRule="auto"/>
              <w:jc w:val="center"/>
              <w:rPr>
                <w:rFonts w:eastAsia="Times New Roman"/>
                <w:color w:val="522700"/>
                <w:szCs w:val="28"/>
              </w:rPr>
            </w:pPr>
            <w:r w:rsidRPr="00B07CA7">
              <w:rPr>
                <w:rFonts w:eastAsia="Times New Roman"/>
                <w:color w:val="522700"/>
                <w:szCs w:val="28"/>
              </w:rPr>
              <w:t>Hà Nội, ngày 12   tháng 3 năm 2003</w:t>
            </w:r>
          </w:p>
        </w:tc>
      </w:tr>
      <w:tr w:rsidR="00B07CA7" w:rsidRPr="00B07CA7" w:rsidTr="00B07CA7">
        <w:tc>
          <w:tcPr>
            <w:tcW w:w="7329" w:type="dxa"/>
            <w:gridSpan w:val="2"/>
            <w:tcBorders>
              <w:top w:val="nil"/>
              <w:left w:val="nil"/>
              <w:bottom w:val="nil"/>
              <w:right w:val="nil"/>
            </w:tcBorders>
            <w:shd w:val="clear" w:color="auto" w:fill="auto"/>
            <w:tcMar>
              <w:top w:w="0" w:type="dxa"/>
              <w:left w:w="108" w:type="dxa"/>
              <w:bottom w:w="0" w:type="dxa"/>
              <w:right w:w="108" w:type="dxa"/>
            </w:tcMar>
            <w:hideMark/>
          </w:tcPr>
          <w:p w:rsidR="00B07CA7" w:rsidRPr="00B07CA7" w:rsidRDefault="00B07CA7" w:rsidP="00B07CA7">
            <w:pPr>
              <w:spacing w:before="120" w:after="100" w:afterAutospacing="1" w:line="240" w:lineRule="auto"/>
              <w:ind w:firstLine="720"/>
              <w:jc w:val="both"/>
              <w:rPr>
                <w:rFonts w:eastAsia="Times New Roman"/>
                <w:color w:val="522700"/>
                <w:szCs w:val="28"/>
              </w:rPr>
            </w:pPr>
          </w:p>
        </w:tc>
        <w:tc>
          <w:tcPr>
            <w:tcW w:w="4806" w:type="dxa"/>
            <w:gridSpan w:val="2"/>
            <w:tcBorders>
              <w:top w:val="nil"/>
              <w:left w:val="nil"/>
              <w:bottom w:val="nil"/>
              <w:right w:val="nil"/>
            </w:tcBorders>
            <w:shd w:val="clear" w:color="auto" w:fill="auto"/>
            <w:tcMar>
              <w:top w:w="0" w:type="dxa"/>
              <w:left w:w="108" w:type="dxa"/>
              <w:bottom w:w="0" w:type="dxa"/>
              <w:right w:w="108" w:type="dxa"/>
            </w:tcMar>
            <w:hideMark/>
          </w:tcPr>
          <w:p w:rsidR="00B07CA7" w:rsidRPr="00B07CA7" w:rsidRDefault="00B07CA7" w:rsidP="00B07CA7">
            <w:pPr>
              <w:spacing w:before="120" w:after="100" w:afterAutospacing="1" w:line="240" w:lineRule="auto"/>
              <w:ind w:firstLine="720"/>
              <w:jc w:val="both"/>
              <w:rPr>
                <w:rFonts w:eastAsia="Times New Roman"/>
                <w:color w:val="522700"/>
                <w:szCs w:val="28"/>
              </w:rPr>
            </w:pPr>
            <w:r w:rsidRPr="00B07CA7">
              <w:rPr>
                <w:rFonts w:eastAsia="Times New Roman"/>
                <w:i/>
                <w:iCs/>
                <w:color w:val="522700"/>
                <w:szCs w:val="28"/>
              </w:rPr>
              <w:t>               </w:t>
            </w:r>
          </w:p>
        </w:tc>
      </w:tr>
    </w:tbl>
    <w:p w:rsidR="00B07CA7" w:rsidRDefault="00B07CA7" w:rsidP="00B07CA7">
      <w:pPr>
        <w:spacing w:before="120" w:after="100" w:afterAutospacing="1" w:line="240" w:lineRule="auto"/>
        <w:jc w:val="center"/>
        <w:rPr>
          <w:rFonts w:eastAsia="Times New Roman"/>
          <w:b/>
          <w:bCs/>
          <w:color w:val="522700"/>
          <w:szCs w:val="28"/>
        </w:rPr>
      </w:pPr>
    </w:p>
    <w:p w:rsidR="00B07CA7" w:rsidRPr="00B07CA7" w:rsidRDefault="00B07CA7" w:rsidP="00B07CA7">
      <w:pPr>
        <w:spacing w:after="0" w:line="240" w:lineRule="auto"/>
        <w:jc w:val="center"/>
        <w:rPr>
          <w:rFonts w:eastAsia="Times New Roman"/>
          <w:color w:val="522700"/>
          <w:sz w:val="40"/>
          <w:szCs w:val="40"/>
        </w:rPr>
      </w:pPr>
      <w:r w:rsidRPr="00B07CA7">
        <w:rPr>
          <w:rFonts w:eastAsia="Times New Roman"/>
          <w:b/>
          <w:bCs/>
          <w:color w:val="522700"/>
          <w:sz w:val="40"/>
          <w:szCs w:val="40"/>
        </w:rPr>
        <w:t>NGHỊ QUYẾT</w:t>
      </w:r>
    </w:p>
    <w:p w:rsidR="00B07CA7" w:rsidRPr="00B07CA7" w:rsidRDefault="00B07CA7" w:rsidP="00B07CA7">
      <w:pPr>
        <w:spacing w:before="120" w:after="100" w:afterAutospacing="1" w:line="240" w:lineRule="auto"/>
        <w:ind w:firstLine="720"/>
        <w:jc w:val="both"/>
        <w:rPr>
          <w:rFonts w:eastAsia="Times New Roman"/>
          <w:color w:val="522700"/>
          <w:sz w:val="22"/>
          <w:szCs w:val="28"/>
        </w:rPr>
      </w:pPr>
      <w:r w:rsidRPr="00B07CA7">
        <w:rPr>
          <w:rFonts w:eastAsia="Times New Roman"/>
          <w:b/>
          <w:bCs/>
          <w:color w:val="522700"/>
          <w:szCs w:val="28"/>
        </w:rPr>
        <w:t> </w:t>
      </w:r>
    </w:p>
    <w:p w:rsidR="00B07CA7" w:rsidRPr="00B07CA7" w:rsidRDefault="00B07CA7" w:rsidP="00B07CA7">
      <w:pPr>
        <w:spacing w:after="0" w:line="240" w:lineRule="auto"/>
        <w:jc w:val="center"/>
        <w:rPr>
          <w:rFonts w:eastAsia="Times New Roman"/>
          <w:color w:val="522700"/>
          <w:szCs w:val="28"/>
        </w:rPr>
      </w:pPr>
      <w:r w:rsidRPr="00B07CA7">
        <w:rPr>
          <w:rFonts w:eastAsia="Times New Roman"/>
          <w:b/>
          <w:bCs/>
          <w:color w:val="522700"/>
          <w:szCs w:val="28"/>
        </w:rPr>
        <w:t>HỘI NGHỊ LẦN THỨ BẢY</w:t>
      </w:r>
    </w:p>
    <w:p w:rsidR="00B07CA7" w:rsidRPr="00B07CA7" w:rsidRDefault="00B07CA7" w:rsidP="00B07CA7">
      <w:pPr>
        <w:spacing w:after="0" w:line="240" w:lineRule="auto"/>
        <w:jc w:val="center"/>
        <w:rPr>
          <w:rFonts w:eastAsia="Times New Roman"/>
          <w:color w:val="522700"/>
          <w:szCs w:val="28"/>
        </w:rPr>
      </w:pPr>
      <w:r w:rsidRPr="00B07CA7">
        <w:rPr>
          <w:rFonts w:eastAsia="Times New Roman"/>
          <w:b/>
          <w:bCs/>
          <w:color w:val="522700"/>
          <w:szCs w:val="28"/>
        </w:rPr>
        <w:t>BAN CHẤP HÀNH TRUNG ƯƠNG ĐẢNG KHOÁ IX</w:t>
      </w:r>
    </w:p>
    <w:p w:rsidR="00B07CA7" w:rsidRPr="00B07CA7" w:rsidRDefault="00B07CA7" w:rsidP="00B07CA7">
      <w:pPr>
        <w:spacing w:after="0" w:line="240" w:lineRule="auto"/>
        <w:jc w:val="center"/>
        <w:rPr>
          <w:rFonts w:eastAsia="Times New Roman"/>
          <w:color w:val="522700"/>
          <w:szCs w:val="28"/>
        </w:rPr>
      </w:pPr>
      <w:r w:rsidRPr="00B07CA7">
        <w:rPr>
          <w:rFonts w:eastAsia="Times New Roman"/>
          <w:b/>
          <w:bCs/>
          <w:color w:val="522700"/>
          <w:szCs w:val="28"/>
        </w:rPr>
        <w:t>về công tác tôn giáo</w:t>
      </w:r>
    </w:p>
    <w:p w:rsidR="00B07CA7" w:rsidRPr="00B07CA7" w:rsidRDefault="00B07CA7" w:rsidP="00B07CA7">
      <w:pPr>
        <w:spacing w:before="120" w:after="100" w:afterAutospacing="1" w:line="240" w:lineRule="auto"/>
        <w:ind w:firstLine="720"/>
        <w:jc w:val="both"/>
        <w:rPr>
          <w:rFonts w:eastAsia="Times New Roman"/>
          <w:color w:val="522700"/>
          <w:szCs w:val="28"/>
        </w:rPr>
      </w:pPr>
      <w:r w:rsidRPr="00B07CA7">
        <w:rPr>
          <w:rFonts w:eastAsia="Times New Roman"/>
          <w:b/>
          <w:bCs/>
          <w:color w:val="522700"/>
          <w:szCs w:val="28"/>
        </w:rPr>
        <w:t> </w:t>
      </w:r>
    </w:p>
    <w:p w:rsidR="00B07CA7" w:rsidRPr="00B07CA7" w:rsidRDefault="00B07CA7" w:rsidP="00B07CA7">
      <w:pPr>
        <w:spacing w:before="120" w:after="100" w:afterAutospacing="1" w:line="240" w:lineRule="auto"/>
        <w:jc w:val="center"/>
        <w:rPr>
          <w:rFonts w:eastAsia="Times New Roman"/>
          <w:color w:val="522700"/>
          <w:szCs w:val="28"/>
        </w:rPr>
      </w:pPr>
      <w:r w:rsidRPr="00B07CA7">
        <w:rPr>
          <w:rFonts w:eastAsia="Times New Roman"/>
          <w:b/>
          <w:bCs/>
          <w:color w:val="522700"/>
          <w:szCs w:val="28"/>
        </w:rPr>
        <w:t>I. TÌNH HÌNH TÔN GIÁO VÀ CÔNG TÁC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Qua các giai đoạn cách mạng, Đảng và nhà nước ta luôn xác định công tác tôn giáo là vấn đề chiến lược có ý nghĩa rất quan trọng.</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Trong cách mạng dân tộc dân chủ, chính sách “tín ngưỡng, tự do, lương giáo đoàn kết” do Chủ tịch Hồ Chí Minh đề ra đã góp phần to lớn vào sự nghiệp đoàn kết toàn dân kháng chiến thắng lợi, giành độc lập thống nhất hoàn toàn cho đất nước.</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Trong cách mạng xã hội chủ nghĩa, vấn đề tôn giáo có những nội dung mới. Năm 1990, Bộ Chính trị ra Nghị quyết 24 về công tác tôn giáo, xác định “Tôn giáo là vấn đề còn tồn tại lâu dài. Tín ngưỡng, tôn giáo là nhu cầu tinh thần của một bộ phận nhân dân. Đạo đức tôn giáo có nhiều điều phù hợp với công cuộc xây dựng xã hội mới”, “các giáo hội và tổ chức tôn giáo nào có đường hướng hành đạo gắn bó với dân tộc, có tôn chỉ, mục đích, điều lệ phù hợp với luật pháp Nhà nước, có tổ chức phù hợp và bộ máy nhân sự đảm bảo tốt về cả hai mặt đạo, đời thì sẽ được Nhà nước xem xét trong từng trường hợp cụ thể để cho phép hoạt động”.</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Thực hiện Nghị quyết của Đảng, công tác vận động đồng bào có đạo, các tín đồ, chức sắc… hưởng ứng tham gia phong trào thi đua yêu nước, xây dựng khối đại đoàn kết toàn dân tộc đạt được nhiều tiến bộ.</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xml:space="preserve">Đồng bào các tôn giáo đã có những đóng góp tích cực vào công cuộc xây dựng và bảo vệ Tổ quốc. Nhìn chung, các tổ chức tôn giáo đã xây dựng đường hướng hành đạo, hoạt động theo pháp luật; các tôn giáo được Nhà nước công nhận đã hành đạo gắn bó với dân tộc, tập hợp đông đảo tín đồ trong khối đại đoàn kết toàn dân, xây dựng cuộc sống tốt đời, đẹp đạo, góp phần vào công cuộc đổi mới đất </w:t>
      </w:r>
      <w:r w:rsidRPr="00B07CA7">
        <w:rPr>
          <w:rFonts w:eastAsia="Times New Roman"/>
          <w:color w:val="522700"/>
          <w:szCs w:val="28"/>
        </w:rPr>
        <w:lastRenderedPageBreak/>
        <w:t>nước. Các nghành, các cấp đã chủ động, tích cực thực hiện các chủ trương, chính sách tôn giáo của Đảng và Nhà nước, phát triển kinh tế - xã hội và giữ vững an ninh chính trị ở các vùng đồng bào tôn giáo, đồng thời đấu tranh ngăn chặn, làm thất bại những hoạt động lợi dụng tín ngưỡng, tôn giáo để hoạt động chống phá Đảng và Nhà nước.</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Tuy nhiên; tình hình hoạt động tôn giáo còn có những diễn biến phức tạp, tiềm ẩn những nhân tố có thể gây mất ổn định. Một số người chưa tuân thủ pháp luật, còn tổ chức truyền đạo trái phép; còn lợi dụng tín ngưỡng, tôn giáo để hành nghề mê tín dị đoan. Việc khiếu kiện và tranh chấp liên quan đến đất đai và cơ sở vật chất của tôn giáo ở một số nơi tăng lên, có nơi gay gắt, phức tạp. Ở một số nơi, nhất là ở vùng dân tộc thiểu số, một số người đã lợi dụng tín ngưỡng, tôn giáo để tiến hành những hoạt động chống đối, kích động tín đồ nhằm phá hoại khối đại đoàn kết toàn dân tộc, gây mất ổn định chính trị.</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Có tình hình trên đây là do: công tác tôn giáo chậm đổi mới nội dung và phương thức hoạt động, trong khi các thế lực thù địch ráo riết tranh thủ, giành giật, lôi kéo quần chúng tín đồ, chức sắc tôn giáo. Một số cấp ủy, chính quyền các cấp, một số cán bộ có trách nhiệm chưa nhận thức, quán triệt đầy đủ các chủ trương, chính sách của Đảng, Nhà nước về tôn giáo. Có nơi chủ quan, nóng vội, giản đơn trong giải quyết nhiều vấn đề liên quan đến tôn giáo; có nơi lại hữu khuynh, thụ động, buông lỏng quản lý. Các chủ trương, chính sách của Đảng và Nhà nước đối với tín ngưỡng, tôn giáo chậm được thể chế hóa. Tổ chức, bộ máy làm công tác tôn giáo của hệ thống chính trị, nhất là bộ máy quản lý nhà nước về tôn giáo chưa xác định rõ được mô hình, chức năng, nhiệm vụ, quyền hạn, cơ chế phối hợp, thiếu sự quan tâm đầu tư bảo đảm các điều kiện hoạt động; đội ngũ cán bộ làm công tác tôn giáo và hệ thống chính trị cơ sở ở các vùng đông tín đồ tôn giáo, vùng đồng bào các dân tộc thiểu số còn yếu, việc tập hợp quần chúng còn hạn chế.</w:t>
      </w:r>
    </w:p>
    <w:p w:rsidR="00B07CA7" w:rsidRPr="00B07CA7" w:rsidRDefault="00B07CA7" w:rsidP="00B07CA7">
      <w:pPr>
        <w:spacing w:before="120" w:after="100" w:afterAutospacing="1" w:line="240" w:lineRule="auto"/>
        <w:jc w:val="center"/>
        <w:rPr>
          <w:rFonts w:eastAsia="Times New Roman"/>
          <w:color w:val="522700"/>
          <w:szCs w:val="28"/>
        </w:rPr>
      </w:pPr>
      <w:r w:rsidRPr="00B07CA7">
        <w:rPr>
          <w:rFonts w:eastAsia="Times New Roman"/>
          <w:b/>
          <w:bCs/>
          <w:color w:val="522700"/>
          <w:szCs w:val="28"/>
        </w:rPr>
        <w:t>II- QUAN ĐIỂM, CHÍNH SÁCH ĐỐI VỚI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Hoạt động tôn giáo và công tác tôn giáo phải nhằm tăng cường đoàn kết đồng bào các tôn giáo trong khối đại đoàn kết toàn dân tộc, phát huy sức mạnh tổng hợp của toàn dân tộc, thực hiện thắng lợi sự nghiệp công nghiệp hóa, hiện đại hóa đất nước, xây dựng và bảo vệ vững chắc Tổ quốc, vì mục tiêu dân giàu, nước mạnh, xã hội công bằng, dân chủ, văn minh.</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Để thực hiện phương hướng trên, các cấp ủy, tổ chức đảng, các cấp, các ngành cần thống nhất nhận thức về các quan điểm và chính sách sau đây:</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1- Tín ngưỡng, tôn giáo là nhu cầu tinh thần của một bộ phận nhân dân, đang và sẽ tồn tại cùng dân tộc trong quá trình xây dựng chủ nghĩa xã hội ở nước ta. Đồng bào các tôn giáo là bộ phận của khối đại đoàn kết toàn dân tộc.</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lastRenderedPageBreak/>
        <w:t>Thực hiện nhất quán chính sách tôn trọng và bảo đảm quyền tự do tín ngưỡng, theo hoặc không theo một tôn giáo nào, quyền sinh hoạt tôn giáo bình thường theo đúng pháp luật. Các tôn giáo hoạt động trong khuôn khổ pháp luật, bình đẳng trước pháp luật.</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2- Đảng, Nhà nước thực hiện nhất quán chính sách đại đoàn kết toàn dân tộc. Đoàn kết đồng bào theo các tôn giáo khác nhau; đoàn kết đồng bào theo tôn giáo và đồng bào không theo tôn giáo. Giữ gìn và phát huy những giá trị tích cực của truyền thống thờ cúng tổ tiên, tôn vinh những người có công với Tổ quốc và nhân dân. Nghiêm cấm sự phân biệt đối xử với công dân vì lý do tín ngưỡng, tôn giáo. Đồng thời, nghiêm cấm lợi dụng tín ngưỡng, tôn giáo để hoạt động mê tín dị đoan, hoạt động trái pháp luật và chính sách của Nhà nước, kích động chia rẽ nhân dân, chia rẽ các dân tộc, gây rối, xâm phạm an ninh quốc gia.</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3- Nội dung cốt lõi của công tác tôn giáo là công tác vận động quần chúng. Mục tiêu dân giàu, nước mạnh, xã hội công bằng, dân chủ, văn minh là điểm tương đồng để gắn bó đồng bào các tôn giáo với sự nghiệp chung. Mọi công dân không phân biệt tín ngưỡng, tôn giáo đều có quyền và nghĩa vụ xây dựng và bảo vệ Tổ quốc.</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Công tác vận động quần chúng các tôn giáo phải động viên đồng bào nêu cao tinh thần yêu nước, ý thức bảo vệ độc lập và thống nhất của Tổ quốc; thông qua việc thực hiện tốt các chính sách kinh tế - xã hội, an ninh, quốc phòng, bảo đảm lợi ích vật chất và tinh thần của nhân dân nói chung, trong đó có đồng bào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4- Công tác tôn giáo là trách nhiệm của cả hệ thống chính trị.</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Công tác tôn giáo có liên quan đến nhiều lĩnh vực của đời sống xã hội, các cấp, các ngành, các địa bàn. Làm tốt công tác tôn giáo là trách nhiệm của toàn bộ hệ thống chính trị do Đảng lãnh đạo. Tổ chức bộ máy và đội ngũ cán bộ chuyên trách làm công tác tôn giáo có trách nhiệm trực tiếp, cần được củng cố và kiện toàn. Công tác quản lý nhà nước đối với các tôn giáo và đấu tranh chống việc lợi dụng tôn giáo để chống đối chế độ chỉ thành công nếu làm tốt công tác vận động quần chúng.</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5- Vấn đề theo đạo và truyền đạo.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Mọi tín đồ đều có quyền tự do hành đạo tại gia đình và cơ sở thờ tự hợp pháp theo quy định của pháp luật.</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Các tổ chức tôn giáo được Nhà nước thừa nhận được hoạt động theo pháp luật và được pháp luật bảo hộ, được hoạt động tôn giáo, mở trường đào tạo chức sắc, nhà tu hành, xuất bản kinh sách và giữ gìn, sửa chữa, xây dựng cơ sở thờ tự tôn giáo của mình theo đúng quy định của pháp luật.</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xml:space="preserve">Việc theo đạo, truyền đạo cũng như mọi hoạt động tôn giáo khác đều phải tuân thủ Hiến pháp và pháp luật; không được lợi dụng tôn giáo tuyên truyền tà đạo, </w:t>
      </w:r>
      <w:r w:rsidRPr="00B07CA7">
        <w:rPr>
          <w:rFonts w:eastAsia="Times New Roman"/>
          <w:color w:val="522700"/>
          <w:szCs w:val="28"/>
        </w:rPr>
        <w:lastRenderedPageBreak/>
        <w:t>hoạt động mê tín dị đoan, không được ép buộc người dân theo đạo. Nghiêm cấm các tổ chức truyền đạo, người truyền đạo và các cách thức truyền đạo trái phép, vi phạm các quy định của Hiến pháp và pháp luật.   </w:t>
      </w:r>
    </w:p>
    <w:p w:rsidR="00B07CA7" w:rsidRPr="00B07CA7" w:rsidRDefault="00B07CA7" w:rsidP="00B07CA7">
      <w:pPr>
        <w:tabs>
          <w:tab w:val="left" w:pos="142"/>
        </w:tabs>
        <w:spacing w:before="120" w:after="100" w:afterAutospacing="1" w:line="240" w:lineRule="auto"/>
        <w:jc w:val="center"/>
        <w:rPr>
          <w:rFonts w:eastAsia="Times New Roman"/>
          <w:color w:val="522700"/>
          <w:szCs w:val="28"/>
        </w:rPr>
      </w:pPr>
      <w:r w:rsidRPr="00B07CA7">
        <w:rPr>
          <w:rFonts w:eastAsia="Times New Roman"/>
          <w:b/>
          <w:bCs/>
          <w:color w:val="522700"/>
          <w:szCs w:val="28"/>
        </w:rPr>
        <w:t>III- NHIỆM VỤ CÔNG TÁC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Thực hiện có hiệu quả chủ trương, chính sách và các chương trình phát triển kinh tế - xã hội, nâng cao đời sống vật chất, văn hóa của nhân dân, trong đó có đồng bào các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Tạo điều kiện cho các tôn giáo hoạt động bình thường theo đúng chính sách và pháp luật của Nhà nước.</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Đẩy mạnh phong trào thi đua yêu nước, xây dựng cuộc sống “tốt đời đẹp đạo” trong quần chúng tín đồ, chức sắc, nhà tu hành ở cơ sở. Xây dựng khối đại đoàn kết toàn dân tộc thực hiện thắng lợi công cuộc đổi mới, xây dựng và bảo vệ đất nước.</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Phát huy tinh thần yêu nước của đồng bào có đạo, tự giác và phối hợp đấu tranh làm thất bại âm mưu của các thế lực thù địch lợi dụng vấn đề tôn giáo, dân tộc để phá hoại đoàn kết dân tộc, chống đối chế độ.</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Hướng dẫn các tôn giáo thực hiện quan hệ đối ngoại phù hợp với đường lối đối ngoại của Đảng và Nhà nước. Đẩy mạnh thông tin tuyên truyền về chính sách tôn giáo của Đảng và Nhà nước; đấu tranh làm thất bại những luận điệu tuyên truyền, xuyên tạc, vu khống của các thế lực thù địch bên ngoài đối với tình hình tôn giáo và công tác tôn giáo ở nước ta.</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Tổng kết việc thực hiện các chỉ thị, nghị quyết của Đảng về công tác tôn giáo. Tăng cường nghiên cứu cơ bản, tổng kết thực tiễn, góp phần cung cấp luận cứ khoa học cho việc xây dựng và thực hiện các chủ trương, chính sách trước mắt và lâu dài đối với tôn giáo.</w:t>
      </w:r>
    </w:p>
    <w:p w:rsidR="00B07CA7" w:rsidRPr="00B07CA7" w:rsidRDefault="00B07CA7" w:rsidP="00B07CA7">
      <w:pPr>
        <w:spacing w:before="120" w:after="100" w:afterAutospacing="1" w:line="240" w:lineRule="auto"/>
        <w:jc w:val="center"/>
        <w:rPr>
          <w:rFonts w:eastAsia="Times New Roman"/>
          <w:color w:val="522700"/>
          <w:szCs w:val="28"/>
        </w:rPr>
      </w:pPr>
      <w:r w:rsidRPr="00B07CA7">
        <w:rPr>
          <w:rFonts w:eastAsia="Times New Roman"/>
          <w:b/>
          <w:bCs/>
          <w:color w:val="522700"/>
          <w:szCs w:val="28"/>
        </w:rPr>
        <w:t>IV- CÁC GIẢI PHÁP CHỦ YẾU</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1- Tập trung nâng cao nhận thức, thống nhất quan điểm, trách nhiệm của hệ thống chính trị và toàn xã hội về vấn đề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Đẩy mạnh công tác tuyên truyền, phổ biến các quan điểm, chủ trương, chính sách về tôn giáo của Đảng và Nhà nước trong cán bộ, đảng viên, nhân dân, nhất là trong chức sắc, chức việc, nhà tu hành và tín đồ các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Giáo dục truyền thống yêu nước, ý thức bảo vệ độc lập và thống nhất của Tổ quốc, làm cho các tôn giáo gắn bó với dân tộc, với đất nước và chủ nghĩa xã hội, hăng hái thi đua xây dựng và bảo vệ Tổ quốc.</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xml:space="preserve">- Giữ gìn và phát huy truyền thống thờ cúng tổ tiên, tôn vinh và nhớ ơn những người có công với Tổ quốc, dân tộc và nhân dân; tôn trọng tín ngưỡng </w:t>
      </w:r>
      <w:r w:rsidRPr="00B07CA7">
        <w:rPr>
          <w:rFonts w:eastAsia="Times New Roman"/>
          <w:color w:val="522700"/>
          <w:szCs w:val="28"/>
        </w:rPr>
        <w:lastRenderedPageBreak/>
        <w:t>truyền thống của đồng bào các dân tộc và đồng bào có đạo, thông qua đó tăng cường sự đồng thuận giữa những người có tín ngưỡng, tôn giáo và những người không tín ngưỡng, tôn giáo; giữa những người có các tín ngưỡng, tôn giáo khác nhau; đồng thời, tạo cơ sở để đấu tranh chống những tà đạo, những hoạt động mê tín dị đoan, lợi dụng tôn giáo làm hại đến lợi ích của Tổ quốc, dân tộc và nhân dân.</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2- Tăng cường công tác vận động quần chúng, xây dựng lực lượng chính trị ở cơ sở.</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Thực hiện tốt quy chế dân chủ ở cơ sở; đổi mới nội dung, phương thức công tác vận động đồng bào tín đồ các tôn giáo, phù hợp với đặc điểm của đồng bào có nhu cầu luôn gắn bó với sinh hoạt tôn giáo và tổ chức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Tăng cường hoạt động của Mặt trận Tổ quốc Việt Nam và các đoàn thể nhân dân trong việc tuyên truyền chủ trương, chính sách đối với chức sắc, chức việc, nhà tu hành và tín đồ các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3- Tăng cường quản lý nhà nước về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Tăng cường đầu tư và thực hiện có hiệu qủa các dự án, chương trình mục tiêu quốc gia, đẩy mạnh tốc độ phát triển kinh tế - văn hóa - xã hội, nâng cao đời sống vật chất, văn hóa cho nhân dân các vùng khó khăn, đặc biệt quan tâm các vùng đông tín đồ tôn giáo và vùng dân tộc miền núi còn nhiều khó khăn.</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Sớm ban hành Pháp lệnh về tôn giáo và các văn bản hướng dẫn thực hiện; chuẩn bị để tiến tới xây dựng Luật về tín ngưỡng,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Tăng cường cảnh giác cách mạng, xây dựng phương án cụ thể, chủ động đấu tranh làm thất bại mọi âm mưu của các thế lực thù địch lợi dụng vấn đề tôn giáo để kích động chia rẽ nhân dân, chia rẽ các dân tộc, gây rối xâm phạm an ninh quốc gia.</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 Giải quyết việc tôn giáo tham gia thực hiện chủ trương xã hội hóa các hoạt động y tế, văn hóa, xã hội, giáo dục… của Nhà nước, theo nguyên tắc:</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Khuyến khích các tôn giáo đã được Nhà nước, thừa nhận tham gia phù hợp với chức năng, nguyên tắc tổ chức của mỗi tôn giáo và quy định của pháp luật.</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Cá nhân tín đồ, chức sắc, chức việc, nhà tu hành tham gia với tư cách công dân thì được khuyến khích và tạo điều kiện thực hiện theo quy định của pháp luật.</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Thống nhất chủ trương xử lý vấn đề nhà, đất sử dụng vào mục đích tôn giáo hoặc có liên quan đến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Đối với đất đai, thực hiện theo quy định của pháp luật hiện hành.</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xml:space="preserve">Đối với việc khiếu kiện liên quan đến nhà và cơ sở tôn giáo đã chuyển giao cho chính quyền hoặc đoàn thể sử dụng: về nguyên tắc, xử lý theo quy định của </w:t>
      </w:r>
      <w:r w:rsidRPr="00B07CA7">
        <w:rPr>
          <w:rFonts w:eastAsia="Times New Roman"/>
          <w:color w:val="522700"/>
          <w:szCs w:val="28"/>
        </w:rPr>
        <w:lastRenderedPageBreak/>
        <w:t>pháp luật hiện hành; riêng đối với những trường hợp nhà, đất do tôn giáo đã hiến tặng có văn bản xác nhận thì không đặt vấn đề trả lại.</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Đối với hội đoàn tôn giáo, thực hiện theo nguyên tắc mọi tổ chức tôn giáo phải được Nhà nước công nhận và hoạt động theo quy định của pháp luật.</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4- Tăng cường công tác tổ chức, cán bộ làm công tác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Củng cố, kiện toàn bộ máy tổ chức làm công tác tôn giáo của Đảng, chính quyền, Mặt trận Tổ quốc và các đoàn thể. Xác định rõ chức năng, nhiệm vụ, quyền hạn, mô hình tổ chức quản lý nhà nước về tôn giáo ở các cấp; xây dựng quy chế phối hợp phát huy sức mạnh và hiệu quả công tác.</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Xây dựng và thực hiện tốt công tác quy hoạch đào tạo bồi dưỡng, Sử dụng và bảo đảm chế độ, chính sách đối với đội ngũ cán bộ làm công tác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 Quan tâm thỏa đáng việc đào tạo bồi dưỡng đội ngũ cán bộ làm công tác tôn giáo các cấp. Cán bộ làm công tác tôn giáo ở vùng đồng bào dân tộc thiểu số phải được bồi dưỡng, huấn luyện để hiểu biết phong tục tập quán, tiếng nói của dân tộc nơi mình công tác.</w:t>
      </w:r>
    </w:p>
    <w:p w:rsidR="00B07CA7" w:rsidRPr="00B07CA7" w:rsidRDefault="00B07CA7" w:rsidP="00B07CA7">
      <w:pPr>
        <w:spacing w:before="120" w:after="100" w:afterAutospacing="1" w:line="240" w:lineRule="auto"/>
        <w:jc w:val="center"/>
        <w:rPr>
          <w:rFonts w:eastAsia="Times New Roman"/>
          <w:color w:val="522700"/>
          <w:szCs w:val="28"/>
        </w:rPr>
      </w:pPr>
      <w:r w:rsidRPr="00B07CA7">
        <w:rPr>
          <w:rFonts w:eastAsia="Times New Roman"/>
          <w:b/>
          <w:bCs/>
          <w:color w:val="522700"/>
          <w:szCs w:val="28"/>
        </w:rPr>
        <w:t>V- TỔ CHỨC THỰC HIỆN</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1- Các cấp ủy đảng tổ chức quán triệt Nghị quyết về công tác tôn giáo đồng thời với nghị quyết về phát huy sức mạnh đại đoàn kết toàn dân tộc và Nghị quyết về công tác dân tộc. Tổ chức nghiên cứu sâu trong cán bộ làm công tác tôn giáo và trong những địa phương có đông đồng bào theo đạo và những địa phương có vấn đề tôn giáo phát sinh. Xây dựng và chỉ đạo thực hiện tốt kế hoạch phổ biến tinh thần nghị quyết trong chức sắc và tín đồ các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2- Đảng đoàn Quốc hội và Ban cán sự đảng Chính phủ chỉ đạo việc cụ thể hóa nội dung nghị quyết thành chính sách, pháp luật; xây dựng chương trình hành động của Quốc hội và Chính phủ chỉ đạo các bộ, ngành, các địa phương thực hiện. Đối với các luật, pháp lệnh mà phạm vi điều chỉnh có liên quan đến tôn giáo cần có điều khoản riêng quy định những nội dung cụ thể liên quan đến vấn đề về tôn giáo.</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3- Các cấp ủy căn cứ tình hình cụ thể của địa phương, xây dựng chương trình hành động thực hiện nghị quyết, thường xuyên đôn đốc, kiểm tra để nghị quyết sớm đi vào cuộc sống.</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4- Đảng đoàn Mặt trận và các đoàn thể nhân dân xây dựng chương trình hành động thực hiện nghị quyết, tổ chức đoàn viên, hội viên thực hiện.</w:t>
      </w:r>
    </w:p>
    <w:p w:rsidR="00B07CA7" w:rsidRPr="00B07CA7" w:rsidRDefault="00B07CA7" w:rsidP="00B07CA7">
      <w:pPr>
        <w:spacing w:before="120" w:after="0" w:line="240" w:lineRule="auto"/>
        <w:ind w:firstLine="720"/>
        <w:jc w:val="both"/>
        <w:rPr>
          <w:rFonts w:eastAsia="Times New Roman"/>
          <w:color w:val="522700"/>
          <w:szCs w:val="28"/>
        </w:rPr>
      </w:pPr>
      <w:r w:rsidRPr="00B07CA7">
        <w:rPr>
          <w:rFonts w:eastAsia="Times New Roman"/>
          <w:color w:val="522700"/>
          <w:szCs w:val="28"/>
        </w:rPr>
        <w:t>5- Ban Dân vận Trung ương thường xuyên theo dõi, kiểm tra, đôn đốc và định kỳ báo cáo Bộ Chính trị, Ban Bí thư kết quả thực hiện nghị quyết; trong quá trình thực hiện, kịp thời phát hiện, đề xuất, kiến nghị để điều chỉnh, bổ sung cụ thể hóa các chủ trương, chính sách, giải pháp nhằm thực hiện thắng lợi nghị quyết.</w:t>
      </w:r>
    </w:p>
    <w:p w:rsidR="00316467" w:rsidRPr="00B07CA7" w:rsidRDefault="00316467" w:rsidP="00B07CA7">
      <w:pPr>
        <w:spacing w:before="120" w:after="100" w:afterAutospacing="1" w:line="240" w:lineRule="auto"/>
        <w:ind w:firstLine="720"/>
        <w:jc w:val="both"/>
        <w:rPr>
          <w:szCs w:val="28"/>
        </w:rPr>
      </w:pPr>
    </w:p>
    <w:sectPr w:rsidR="00316467" w:rsidRPr="00B07CA7" w:rsidSect="00B07CA7">
      <w:footerReference w:type="default" r:id="rId6"/>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13" w:rsidRDefault="00B65113" w:rsidP="00B07CA7">
      <w:pPr>
        <w:spacing w:after="0" w:line="240" w:lineRule="auto"/>
      </w:pPr>
      <w:r>
        <w:separator/>
      </w:r>
    </w:p>
  </w:endnote>
  <w:endnote w:type="continuationSeparator" w:id="1">
    <w:p w:rsidR="00B65113" w:rsidRDefault="00B65113" w:rsidP="00B07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001610"/>
      <w:docPartObj>
        <w:docPartGallery w:val="Page Numbers (Bottom of Page)"/>
        <w:docPartUnique/>
      </w:docPartObj>
    </w:sdtPr>
    <w:sdtContent>
      <w:p w:rsidR="00B07CA7" w:rsidRDefault="00B07CA7">
        <w:pPr>
          <w:pStyle w:val="Footer"/>
          <w:jc w:val="right"/>
        </w:pPr>
        <w:r w:rsidRPr="00B07CA7">
          <w:rPr>
            <w:sz w:val="24"/>
            <w:szCs w:val="24"/>
          </w:rPr>
          <w:fldChar w:fldCharType="begin"/>
        </w:r>
        <w:r w:rsidRPr="00B07CA7">
          <w:rPr>
            <w:sz w:val="24"/>
            <w:szCs w:val="24"/>
          </w:rPr>
          <w:instrText xml:space="preserve"> PAGE   \* MERGEFORMAT </w:instrText>
        </w:r>
        <w:r w:rsidRPr="00B07CA7">
          <w:rPr>
            <w:sz w:val="24"/>
            <w:szCs w:val="24"/>
          </w:rPr>
          <w:fldChar w:fldCharType="separate"/>
        </w:r>
        <w:r>
          <w:rPr>
            <w:noProof/>
            <w:sz w:val="24"/>
            <w:szCs w:val="24"/>
          </w:rPr>
          <w:t>6</w:t>
        </w:r>
        <w:r w:rsidRPr="00B07CA7">
          <w:rPr>
            <w:sz w:val="24"/>
            <w:szCs w:val="24"/>
          </w:rPr>
          <w:fldChar w:fldCharType="end"/>
        </w:r>
      </w:p>
    </w:sdtContent>
  </w:sdt>
  <w:p w:rsidR="00B07CA7" w:rsidRDefault="00B07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13" w:rsidRDefault="00B65113" w:rsidP="00B07CA7">
      <w:pPr>
        <w:spacing w:after="0" w:line="240" w:lineRule="auto"/>
      </w:pPr>
      <w:r>
        <w:separator/>
      </w:r>
    </w:p>
  </w:footnote>
  <w:footnote w:type="continuationSeparator" w:id="1">
    <w:p w:rsidR="00B65113" w:rsidRDefault="00B65113" w:rsidP="00B07C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07CA7"/>
    <w:rsid w:val="00316467"/>
    <w:rsid w:val="005C79BB"/>
    <w:rsid w:val="00B07CA7"/>
    <w:rsid w:val="00B65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7C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CA7"/>
  </w:style>
  <w:style w:type="paragraph" w:styleId="Footer">
    <w:name w:val="footer"/>
    <w:basedOn w:val="Normal"/>
    <w:link w:val="FooterChar"/>
    <w:uiPriority w:val="99"/>
    <w:unhideWhenUsed/>
    <w:rsid w:val="00B07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CA7"/>
  </w:style>
</w:styles>
</file>

<file path=word/webSettings.xml><?xml version="1.0" encoding="utf-8"?>
<w:webSettings xmlns:r="http://schemas.openxmlformats.org/officeDocument/2006/relationships" xmlns:w="http://schemas.openxmlformats.org/wordprocessingml/2006/main">
  <w:divs>
    <w:div w:id="535847950">
      <w:bodyDiv w:val="1"/>
      <w:marLeft w:val="0"/>
      <w:marRight w:val="0"/>
      <w:marTop w:val="0"/>
      <w:marBottom w:val="0"/>
      <w:divBdr>
        <w:top w:val="none" w:sz="0" w:space="0" w:color="auto"/>
        <w:left w:val="none" w:sz="0" w:space="0" w:color="auto"/>
        <w:bottom w:val="none" w:sz="0" w:space="0" w:color="auto"/>
        <w:right w:val="none" w:sz="0" w:space="0" w:color="auto"/>
      </w:divBdr>
      <w:divsChild>
        <w:div w:id="320080128">
          <w:marLeft w:val="0"/>
          <w:marRight w:val="0"/>
          <w:marTop w:val="0"/>
          <w:marBottom w:val="0"/>
          <w:divBdr>
            <w:top w:val="none" w:sz="0" w:space="0" w:color="auto"/>
            <w:left w:val="none" w:sz="0" w:space="0" w:color="auto"/>
            <w:bottom w:val="none" w:sz="0" w:space="0" w:color="auto"/>
            <w:right w:val="none" w:sz="0" w:space="0" w:color="auto"/>
          </w:divBdr>
        </w:div>
        <w:div w:id="1605115137">
          <w:marLeft w:val="0"/>
          <w:marRight w:val="0"/>
          <w:marTop w:val="120"/>
          <w:marBottom w:val="120"/>
          <w:divBdr>
            <w:top w:val="none" w:sz="0" w:space="0" w:color="auto"/>
            <w:left w:val="none" w:sz="0" w:space="0" w:color="auto"/>
            <w:bottom w:val="none" w:sz="0" w:space="0" w:color="auto"/>
            <w:right w:val="none" w:sz="0" w:space="0" w:color="auto"/>
          </w:divBdr>
        </w:div>
        <w:div w:id="92268819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911A7-8250-4068-BD90-05E6250C2228}"/>
</file>

<file path=customXml/itemProps2.xml><?xml version="1.0" encoding="utf-8"?>
<ds:datastoreItem xmlns:ds="http://schemas.openxmlformats.org/officeDocument/2006/customXml" ds:itemID="{2302389E-C68D-4022-BA57-BDD647EB2C58}"/>
</file>

<file path=customXml/itemProps3.xml><?xml version="1.0" encoding="utf-8"?>
<ds:datastoreItem xmlns:ds="http://schemas.openxmlformats.org/officeDocument/2006/customXml" ds:itemID="{85C8E338-A1CA-46C9-80C1-F04C2CE38FD5}"/>
</file>

<file path=docProps/app.xml><?xml version="1.0" encoding="utf-8"?>
<Properties xmlns="http://schemas.openxmlformats.org/officeDocument/2006/extended-properties" xmlns:vt="http://schemas.openxmlformats.org/officeDocument/2006/docPropsVTypes">
  <Template>Normal</Template>
  <TotalTime>9</TotalTime>
  <Pages>7</Pages>
  <Words>2152</Words>
  <Characters>12268</Characters>
  <Application>Microsoft Office Word</Application>
  <DocSecurity>0</DocSecurity>
  <Lines>102</Lines>
  <Paragraphs>28</Paragraphs>
  <ScaleCrop>false</ScaleCrop>
  <Company/>
  <LinksUpToDate>false</LinksUpToDate>
  <CharactersWithSpaces>14392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2019-08-15T14:01:00Z</dcterms:created>
  <dcterms:modified xsi:type="dcterms:W3CDTF">2019-08-15T14:10:00Z</dcterms:modified>
</cp:coreProperties>
</file>